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2075" w14:textId="77777777" w:rsidR="00CC3FF7" w:rsidRPr="00CC3FF7" w:rsidRDefault="00CC3FF7" w:rsidP="00CC3FF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Рекомендации публичных слушаний </w:t>
      </w:r>
    </w:p>
    <w:p w14:paraId="5C090843" w14:textId="77777777" w:rsidR="00CC3FF7" w:rsidRPr="00CC3FF7" w:rsidRDefault="00CC3FF7" w:rsidP="00CC3FF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</w:t>
      </w:r>
    </w:p>
    <w:p w14:paraId="618ED16C" w14:textId="77777777" w:rsidR="00CC3FF7" w:rsidRPr="00CC3FF7" w:rsidRDefault="00CC3FF7" w:rsidP="00CC3FF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</w:p>
    <w:p w14:paraId="3F050955" w14:textId="77777777" w:rsidR="00CC3FF7" w:rsidRPr="00CC3FF7" w:rsidRDefault="00CC3FF7" w:rsidP="00CC3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«О бюджете Чебаркульского городского округа </w:t>
      </w:r>
      <w:r w:rsidRPr="00CC3FF7">
        <w:rPr>
          <w:rFonts w:ascii="Times New Roman" w:hAnsi="Times New Roman" w:cs="Times New Roman"/>
          <w:b/>
          <w:bCs/>
          <w:sz w:val="28"/>
          <w:szCs w:val="28"/>
        </w:rPr>
        <w:t xml:space="preserve">на 2024 год </w:t>
      </w:r>
    </w:p>
    <w:p w14:paraId="3F43C756" w14:textId="77777777" w:rsidR="00CC3FF7" w:rsidRPr="00CC3FF7" w:rsidRDefault="00CC3FF7" w:rsidP="00CC3FF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b/>
          <w:bCs/>
          <w:sz w:val="28"/>
          <w:szCs w:val="28"/>
        </w:rPr>
        <w:t>и плановый период 2025 и 2026 годов</w:t>
      </w:r>
      <w:r w:rsidRPr="00CC3FF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64316B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A6614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решения Собрания депутатов Чебаркульского городского округа «О бюджете Чебаркульского городского округа на 2024 год и плановый период 2025 и 2026 годов», отмечают следующее.</w:t>
      </w:r>
    </w:p>
    <w:p w14:paraId="4DBB0F0A" w14:textId="77777777" w:rsidR="00CC3FF7" w:rsidRPr="00CC3FF7" w:rsidRDefault="00CC3FF7" w:rsidP="00CC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Проект решения «О бюджете Чебаркульского городского округа на 2024 год и плановый период 2025 и 2026 годов» сформирован на основе базового варианта прогноза социально-экономического развития Чебаркульского городского округа на соответствующий период, а также с учетом изменений, внесенных в бюджетное и налоговое законодательство Российской Федерации.</w:t>
      </w:r>
    </w:p>
    <w:p w14:paraId="1C3CE38D" w14:textId="77777777" w:rsidR="00CC3FF7" w:rsidRPr="00CC3FF7" w:rsidRDefault="00CC3FF7" w:rsidP="00CC3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Доходы городского бюджета в 2024 году запланированы в объеме 1 599,7 млн. рублей. В 2025 году доходы запланированы в объеме 1 606,1 млн. рублей, в 2026 году – 1 691,3 млн. рублей.</w:t>
      </w:r>
    </w:p>
    <w:p w14:paraId="66F267CB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Налоговые и неналоговые доходы запланированы в 2024 году в объеме 618,8 млн. рублей (38,7 % всех доходов городского бюджета), 2025 году собственные доходы прогнозируются в сумме 673,8 млн. рублей, в 2026 – 725,0 млн. рублей.</w:t>
      </w:r>
    </w:p>
    <w:p w14:paraId="7C84D33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Структура собственных доходных источников бюджета городского округа:  </w:t>
      </w:r>
    </w:p>
    <w:p w14:paraId="0EA7406B" w14:textId="77777777" w:rsidR="00CC3FF7" w:rsidRPr="00CC3FF7" w:rsidRDefault="00CC3FF7" w:rsidP="00C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налог на доходы физических лиц – 75,8 % в 2024 году, 77,5 % в 2025 году, 78,9% в 2026 году;</w:t>
      </w:r>
    </w:p>
    <w:p w14:paraId="415F0A22" w14:textId="77777777" w:rsidR="00CC3FF7" w:rsidRPr="00CC3FF7" w:rsidRDefault="00CC3FF7" w:rsidP="00C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налоги на совокупный доход – 10,0 % в 2024 году, 9,4 % в 2025 году, 8,9 % в 2026 году;</w:t>
      </w:r>
    </w:p>
    <w:p w14:paraId="76149C34" w14:textId="77777777" w:rsidR="00CC3FF7" w:rsidRPr="00CC3FF7" w:rsidRDefault="00CC3FF7" w:rsidP="00C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налоги на имущество – 5,6 % в 2024 году, 5,2 % в 2025 году, 4,8 % в 2026 году;</w:t>
      </w:r>
    </w:p>
    <w:p w14:paraId="0FB97FA3" w14:textId="77777777" w:rsidR="00CC3FF7" w:rsidRPr="00CC3FF7" w:rsidRDefault="00CC3FF7" w:rsidP="00CC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неналоговые доходы (аренда, продажа имущества и земельных участков, штрафы и др.) – 5,7 % в 2024 году, 5,2 % в 2025 году, 4,9 % в 2026 году.</w:t>
      </w:r>
    </w:p>
    <w:p w14:paraId="5A6256B9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Объем безвозмездных поступлений составит 61,3 % от общего объема доходов городского бюджета и предусматривается в 2024 году в сумме 980,9 млн. рублей, в 2025 году – 932,3 млн. рублей, в 2026 году – 966,3 млн. рублей.</w:t>
      </w:r>
    </w:p>
    <w:p w14:paraId="09A5CE21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1701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Расходы городского бюджета определены на 2024 год в сумме 1 599,7 млн. рублей с увеличением к первоначальному уровню текущего года на 19,3 %, 2025 год - 1 606,1 млн. рублей и 2026 год - 1 691,3 млн. рублей.</w:t>
      </w:r>
    </w:p>
    <w:p w14:paraId="3B95698F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Особенности формирования расходной части бюджета городского округа на 2024-2026 годы обусловлены необходимостью: </w:t>
      </w:r>
    </w:p>
    <w:p w14:paraId="6DFF78ED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1) сохранения достигнутого уровня целевых показателей Указов Президента Российской Федерации 2012 г. в части оплаты труда работников </w:t>
      </w:r>
      <w:r w:rsidRPr="00CC3FF7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сектора, а также обеспечения минимального размера оплаты труда в соответствии с Федеральным законом «О минимальном размере оплаты труда»; </w:t>
      </w:r>
    </w:p>
    <w:p w14:paraId="7CCEFE1A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C3FF7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C3FF7">
        <w:rPr>
          <w:rFonts w:ascii="Times New Roman" w:hAnsi="Times New Roman" w:cs="Times New Roman"/>
          <w:sz w:val="28"/>
          <w:szCs w:val="28"/>
        </w:rPr>
        <w:t xml:space="preserve"> расходов городского бюджета с учетом прогнозируемой экономической ситуации и выполнения обязательств по социально-экономическому развитию и финансовому оздоровлению, в том числе предусмотренных соглашениями, заключенными с Минфином Челябинской области;</w:t>
      </w:r>
    </w:p>
    <w:p w14:paraId="2BF71BC4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3) сохранения режима экономии бюджетных средств и продолжением работы по оптимизации </w:t>
      </w:r>
      <w:proofErr w:type="spellStart"/>
      <w:r w:rsidRPr="00CC3FF7">
        <w:rPr>
          <w:rFonts w:ascii="Times New Roman" w:hAnsi="Times New Roman" w:cs="Times New Roman"/>
          <w:sz w:val="28"/>
          <w:szCs w:val="28"/>
        </w:rPr>
        <w:t>непервоочередных</w:t>
      </w:r>
      <w:proofErr w:type="spellEnd"/>
      <w:r w:rsidRPr="00CC3FF7">
        <w:rPr>
          <w:rFonts w:ascii="Times New Roman" w:hAnsi="Times New Roman" w:cs="Times New Roman"/>
          <w:sz w:val="28"/>
          <w:szCs w:val="28"/>
        </w:rPr>
        <w:t xml:space="preserve"> расходов; </w:t>
      </w:r>
    </w:p>
    <w:p w14:paraId="41F0EC78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4) безусловного исполнения публичных нормативных обязательств и иных социальных обязательств Челябинской области, городского округа;</w:t>
      </w:r>
    </w:p>
    <w:p w14:paraId="52AC8F4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5) полного финансового обеспечения реализации муниципальных программ в рамках региональных проектов согласно параметрам паспортов федеральных проектов, входящих в состав национальных проектов, в соответствии с Указом Президента Российской Федерации от 21.07.2020 г. №474 «О национальных целях развития Российской Федерации на период до 2030 года».</w:t>
      </w:r>
    </w:p>
    <w:p w14:paraId="4100C4BF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Расходы по-прежнему остаются социально ориентированными. Удельный вес расходов, связанных с функционированием социальных отраслей (образование, культура, социальная политика, физическая культура и спорт) составит в 2024-2026 годах более 80% от общего объема расходов.</w:t>
      </w:r>
    </w:p>
    <w:p w14:paraId="5588B13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Средства на оказание социальной поддержки населения предусмотрены в необходимом 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объеме,  а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также запланирована индексация всех социальных выплат, установленных законодательством Челябинской области, на прогнозируемый уровень инфляции и уровень роста тарифов на оплату жилищно-коммунальных услуг.</w:t>
      </w:r>
    </w:p>
    <w:p w14:paraId="7802B4E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Расходы городского бюджета на оплату труда предусмотрены исходя из необходимости 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сохранения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достигнутого в рамках реализации социальных указов Президента Российской Федерации уровня средней заработной платы по экономике в Челябинской области.</w:t>
      </w:r>
    </w:p>
    <w:p w14:paraId="1AE24D9F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Бюджет Чебаркульского городского округа сформирован по программному принципу, это 93 % от общего объема расходов бюджета, или 2024 год - 1 473,3 млн. рублей, 2025 год - 1 487,4 млн. рублей, 2026 год - 1 574,3 млн. рублей. Всего утверждено 30 муниципальных программ, из них 27 муниципальных программ с финансированием, 3 программы не имеют финансового обеспечения («Улучшение условий и охраны труда в бюджетных учреждениях Чебаркульского городского округа», «Развитие малого и среднего предпринимательства в </w:t>
      </w:r>
      <w:proofErr w:type="spellStart"/>
      <w:r w:rsidRPr="00CC3FF7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Pr="00CC3FF7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«Чебаркульский городской округ», «Развитие информационного общества на территории Чебаркульского городского округа»). </w:t>
      </w:r>
    </w:p>
    <w:p w14:paraId="76C888A0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Чебаркульский городской округ в 2024 году участвует в трех национальных проектах: «Образование», «Демография», «Жилье и городская среда».</w:t>
      </w:r>
      <w:r w:rsidRPr="00CC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FF7">
        <w:rPr>
          <w:rFonts w:ascii="Times New Roman" w:hAnsi="Times New Roman" w:cs="Times New Roman"/>
          <w:sz w:val="28"/>
          <w:szCs w:val="28"/>
        </w:rPr>
        <w:t>Общая сумма выделенных средств составляет 27,1 млн. рублей.</w:t>
      </w:r>
    </w:p>
    <w:p w14:paraId="062E675A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lastRenderedPageBreak/>
        <w:t>На 2024 год из областного бюджета в форме целевой субсидии на инициативные проекты, в соответствии с проектом Закона «Об областном бюджете на 2024 год и плановый период 2025 и 2026 годов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»,  выделено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38,1 млн. рублей. </w:t>
      </w:r>
    </w:p>
    <w:p w14:paraId="3D3F99AC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Долговая политика Чебаркульского городского округа в 2024-2026 годах будет направлена на обеспечение сбалансированности городского бюджета. В 2024-2026 годах получение кредитов, предоставление муниципальных гарантий и заимствований не планируется.</w:t>
      </w:r>
    </w:p>
    <w:p w14:paraId="4BF73B3E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Бюджет Чебаркульского городского округа предполагается принять бездефицитным.</w:t>
      </w:r>
    </w:p>
    <w:p w14:paraId="66A8989B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Для финансового обеспечения реализации намеченных мероприятий по дальнейшему социально-экономическому развитию городского округа участники публичных слушаний рекомендуют следующее:</w:t>
      </w:r>
    </w:p>
    <w:p w14:paraId="4F9FDE3D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>1. Собранию депутатов Чебаркульского городского округа</w:t>
      </w:r>
      <w:r w:rsidRPr="00CC3FF7">
        <w:rPr>
          <w:rFonts w:ascii="Times New Roman" w:hAnsi="Times New Roman" w:cs="Times New Roman"/>
          <w:sz w:val="28"/>
          <w:szCs w:val="28"/>
        </w:rPr>
        <w:t xml:space="preserve"> рассмотреть проект решения Собрания депутатов Чебаркульского городского округа «О бюджете Чебаркульского городского на 2024 год и плановый период 2025 и 2026 годов» и принять указанное решение.</w:t>
      </w:r>
    </w:p>
    <w:p w14:paraId="655CCC5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2. Органам местного самоуправления и отраслевым отделам администрации: </w:t>
      </w:r>
    </w:p>
    <w:p w14:paraId="3417637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1) привести объемы финансирования муниципальных программ в соответствие с данным решением не позднее 3 месяцев со дня вступления его в силу;</w:t>
      </w:r>
    </w:p>
    <w:p w14:paraId="004ED759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2) активизировать работу по реализации мероприятий, направленных на укрепление доходной базы бюджета городского округа, в том числе за 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счет  использования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резервов увеличения доходов, а также принять дополнительные меры по повышению эффективности управления дебиторской задолженностью по доходам;</w:t>
      </w:r>
    </w:p>
    <w:p w14:paraId="6BA81705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F7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обеспечить:</w:t>
      </w:r>
    </w:p>
    <w:p w14:paraId="2A8802AC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F7"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утверждение в решениях Собрания депутатов о бюджете Чебаркульского городского на 2024 год и плановый период 2025 и 2026 годов реально прогнозируемых показателей по налоговым и неналоговым доходам, исключая их необоснованное увеличение;</w:t>
      </w:r>
    </w:p>
    <w:p w14:paraId="3EDB38E8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F7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установленных на 2024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14:paraId="7B22ED80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F7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соглашений о мерах по социально-экономическому развитию и оздоровлению муниципальных финансов, заключенных с Министерством финансов Челябинской области в установленном порядке;</w:t>
      </w:r>
    </w:p>
    <w:p w14:paraId="05FE43CF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F7">
        <w:rPr>
          <w:rFonts w:ascii="Times New Roman" w:hAnsi="Times New Roman" w:cs="Times New Roman"/>
          <w:color w:val="000000" w:themeColor="text1"/>
          <w:sz w:val="28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ресурсов;</w:t>
      </w:r>
    </w:p>
    <w:p w14:paraId="067C1CDE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4) не допускать:</w:t>
      </w:r>
    </w:p>
    <w:p w14:paraId="626C1AC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- образования просроченной кредиторской задолженности по расходным обязательствам Чебаркульского городского округа в первую очередь по выплате заработной платы работникам муниципальных </w:t>
      </w:r>
      <w:r w:rsidRPr="00CC3FF7">
        <w:rPr>
          <w:rFonts w:ascii="Times New Roman" w:hAnsi="Times New Roman" w:cs="Times New Roman"/>
          <w:sz w:val="28"/>
          <w:szCs w:val="28"/>
        </w:rPr>
        <w:lastRenderedPageBreak/>
        <w:t>учреждений, принимать меры, предусмотренные трудовыми договорами, к руководителям муниципальных учреждений, допустившим ее образование в течение текущего финансового года;</w:t>
      </w:r>
    </w:p>
    <w:p w14:paraId="684B6176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- принятия бюджетных обязательств в размерах, превышающих утвержденные лимиты; </w:t>
      </w:r>
    </w:p>
    <w:p w14:paraId="2EE6D5AB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принятия новых расходных обязательств при отсутствии средств на финансирование действующих расходных обязательств;</w:t>
      </w:r>
    </w:p>
    <w:p w14:paraId="689FC6E1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необоснованного увеличения прогнозируемых поступлений налоговых и неналоговых доходов при внесении изменений в решения Собрания депутатов о бюджете Чебаркульского городского округа на 2024 год и плановый период 2025 и 2026 годов;</w:t>
      </w:r>
    </w:p>
    <w:p w14:paraId="549D83B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включения в решения Собрания депутатов о бюджете Чебаркульского городского округа на 2024 год и плановый период 2025 и 2026 годов в качестве источников финансирования дефицитов местных бюджетов привлечения бюджетных кредитов из областного бюджета при отсутствии решения Правительства Челябинской области об их предоставлении;</w:t>
      </w:r>
    </w:p>
    <w:p w14:paraId="39D23B5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включение в решение о местном бюджете кредитов кредитных организаций, а также выдачу муниципальных гарантий без согласования с Министерством финансов Челябинской области;</w:t>
      </w:r>
    </w:p>
    <w:p w14:paraId="513ABC10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5) продолжить работу в рамках деятельности рабочей группы, созданной распоряжением главы городского округа от 30.09.2021 года № 488-р по обеспечению полноты и своевременности поступления налогов и неналоговых платежей в бюджеты, страховых взносов в государственные внебюджетные фонды, легализации «серой» заработной платы и снижению неформальной занятости на территории Чебаркульского городского округа; </w:t>
      </w:r>
    </w:p>
    <w:p w14:paraId="554D94A4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6) оказывать содействие Межрайонной инспекции Федеральной налоговой службы № 31 по Челябинской области в размещении социальной рекламы, направленной на повышение налоговой культуры и грамотности жителей города.</w:t>
      </w:r>
    </w:p>
    <w:p w14:paraId="356C20E0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>3. Главным администраторам бюджета городского округа:</w:t>
      </w:r>
    </w:p>
    <w:p w14:paraId="1036063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>1) обеспечить реализацию бюджетных полномочий, установленных ст.160.1 Бюджетного кодекса Российской Федерации, направленных на:</w:t>
      </w:r>
    </w:p>
    <w:p w14:paraId="0398775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достоверности прогнозирования;</w:t>
      </w:r>
    </w:p>
    <w:p w14:paraId="0B263F63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улучшение качества администрирования и </w:t>
      </w:r>
      <w:proofErr w:type="gramStart"/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>рост собираемости платежей</w:t>
      </w:r>
      <w:proofErr w:type="gramEnd"/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областной бюджет;</w:t>
      </w:r>
    </w:p>
    <w:p w14:paraId="555A6E17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 xml:space="preserve">2) принять дополнительные меры по повышению эффективности управления дебиторской задолженностью по доходам, а 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также  продолжить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работу по привлечению резервов увеличения поступлений по администрируемым доходам.</w:t>
      </w:r>
    </w:p>
    <w:p w14:paraId="333F3831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>4. Главным распорядителям средств бюджета городского округа:</w:t>
      </w:r>
    </w:p>
    <w:p w14:paraId="1B5B8645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1) обеспечить:</w:t>
      </w:r>
    </w:p>
    <w:p w14:paraId="213AD012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реализацию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года;</w:t>
      </w:r>
    </w:p>
    <w:p w14:paraId="684D158F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lastRenderedPageBreak/>
        <w:t>- взаимодействие с областными органами государственной власти по курируемым направлениям по вопросу выделения в 2024 году дополнительных средств из областного бюджета и своевременному заключению соглашений, а также принять меры по обеспечению эффективного использования указанных средств и достижению установленных соглашениями индикативных показателей;</w:t>
      </w:r>
    </w:p>
    <w:p w14:paraId="7040F2AD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- целевое и эффективное расходование бюджетных средств, в том числе выделенных на реализацию национальных проектов;</w:t>
      </w:r>
    </w:p>
    <w:p w14:paraId="06AACDFD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2) усилить контроль за выполнением муниципальными бюджетными и автономными учреждениями муниципальных заданий на оказание муниципальных услуг (выполнение работ), в том числе за достижением установленных в них показателей, а также повышением качества оказываемых указанными учреждениями муниципальных услуг;</w:t>
      </w:r>
    </w:p>
    <w:p w14:paraId="61AD0F31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3) продолжить работу по повышению качества бюджетного планирования, в том числе в целях сокращения количества изменений, вносимых в решение Собрания депутатов о бюджете Чебаркульского городского округа на 2024 год и плановый период 2025и 2026 годов в течение финансового года;</w:t>
      </w:r>
    </w:p>
    <w:p w14:paraId="472CB20D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>4) принять меры по недопущению образования просроченной кредиторской задолженности по расходным обязательствам Чебаркульского городского округа.</w:t>
      </w:r>
    </w:p>
    <w:p w14:paraId="5306F011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5. Межрайонной инспекции Федеральной налоговой службы № 31 по Челябинской области </w:t>
      </w:r>
      <w:r w:rsidRPr="00CC3FF7">
        <w:rPr>
          <w:rStyle w:val="a3"/>
          <w:rFonts w:ascii="Times New Roman" w:hAnsi="Times New Roman" w:cs="Times New Roman"/>
          <w:b w:val="0"/>
          <w:sz w:val="28"/>
          <w:szCs w:val="28"/>
        </w:rPr>
        <w:t>п</w:t>
      </w:r>
      <w:r w:rsidRPr="00CC3FF7">
        <w:rPr>
          <w:rFonts w:ascii="Times New Roman" w:hAnsi="Times New Roman" w:cs="Times New Roman"/>
          <w:sz w:val="28"/>
          <w:szCs w:val="28"/>
        </w:rPr>
        <w:t>родолжать работу по реализации предусмотренных законодательством Российской Федерации мер по обеспечению полноты взыскания имеющейся задолженности по налогам и сборам в бюджеты бюджетной системы Российской Федерации, в том числе областной и местный бюджеты.</w:t>
      </w:r>
    </w:p>
    <w:p w14:paraId="1AFB4BA4" w14:textId="3B6CC019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</w:t>
      </w:r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FF7">
        <w:rPr>
          <w:rStyle w:val="a3"/>
          <w:rFonts w:ascii="Times New Roman" w:hAnsi="Times New Roman" w:cs="Times New Roman"/>
          <w:sz w:val="28"/>
          <w:szCs w:val="28"/>
        </w:rPr>
        <w:t>Чебаркульскому</w:t>
      </w:r>
      <w:proofErr w:type="spellEnd"/>
      <w:r w:rsidRPr="00CC3FF7">
        <w:rPr>
          <w:rStyle w:val="a3"/>
          <w:rFonts w:ascii="Times New Roman" w:hAnsi="Times New Roman" w:cs="Times New Roman"/>
          <w:sz w:val="28"/>
          <w:szCs w:val="28"/>
        </w:rPr>
        <w:t xml:space="preserve"> городскому отделу судебных приставов</w:t>
      </w:r>
      <w:r w:rsidRPr="00CC3FF7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принятию мер, предусмотренных действующим законодательством Российской Федерации по обеспечению полноты взыскания задолженности по налогам и сборам  в бюджеты бюджетной системы Российской Федерации, передаваемой на исполнение по судебным актам и постановлениям Межрайонной инспекции Федеральной налоговой службы №31 по Челябинской области.</w:t>
      </w:r>
    </w:p>
    <w:p w14:paraId="2DAAB7E9" w14:textId="77777777" w:rsidR="00CC3FF7" w:rsidRPr="00CC3FF7" w:rsidRDefault="00CC3FF7" w:rsidP="00CC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Style w:val="a3"/>
          <w:rFonts w:ascii="Times New Roman" w:hAnsi="Times New Roman" w:cs="Times New Roman"/>
          <w:sz w:val="28"/>
          <w:szCs w:val="28"/>
        </w:rPr>
        <w:t>7. Руководителям организаций, индивидуальным предпринимателям и физическим лицам, являющимся налогоплательщиками на территории Чебаркульского городского округа</w:t>
      </w:r>
      <w:r w:rsidRPr="00CC3FF7">
        <w:rPr>
          <w:rFonts w:ascii="Times New Roman" w:hAnsi="Times New Roman" w:cs="Times New Roman"/>
          <w:sz w:val="28"/>
          <w:szCs w:val="28"/>
        </w:rPr>
        <w:t>, обеспечивать строгое соблюдение законодательства Российской Федерации по налогам и сборам по своевременному и полному перечислению налогов и сборов в бюджеты бюджетной системы Российской Федерации, в том числе в областной и местный бюджеты.</w:t>
      </w:r>
    </w:p>
    <w:p w14:paraId="138E8D6B" w14:textId="6C4973ED" w:rsidR="00657354" w:rsidRPr="00CC3FF7" w:rsidRDefault="00CC3FF7" w:rsidP="00CC3FF7">
      <w:pPr>
        <w:jc w:val="both"/>
        <w:rPr>
          <w:rFonts w:ascii="Times New Roman" w:hAnsi="Times New Roman" w:cs="Times New Roman"/>
          <w:sz w:val="28"/>
          <w:szCs w:val="28"/>
        </w:rPr>
      </w:pPr>
      <w:r w:rsidRPr="00CC3FF7">
        <w:rPr>
          <w:rFonts w:ascii="Times New Roman" w:hAnsi="Times New Roman" w:cs="Times New Roman"/>
          <w:sz w:val="28"/>
          <w:szCs w:val="28"/>
        </w:rPr>
        <w:tab/>
      </w:r>
      <w:r w:rsidRPr="00CC3FF7">
        <w:rPr>
          <w:rFonts w:ascii="Times New Roman" w:hAnsi="Times New Roman" w:cs="Times New Roman"/>
          <w:b/>
          <w:sz w:val="28"/>
          <w:szCs w:val="28"/>
        </w:rPr>
        <w:t>8. Рекомендовать Главе Чебаркульского городского округа</w:t>
      </w:r>
      <w:r w:rsidRPr="00CC3FF7">
        <w:rPr>
          <w:rFonts w:ascii="Times New Roman" w:hAnsi="Times New Roman" w:cs="Times New Roman"/>
          <w:sz w:val="28"/>
          <w:szCs w:val="28"/>
        </w:rPr>
        <w:t xml:space="preserve"> предусмотреть в планируемом бюджете на 2025-2026 </w:t>
      </w:r>
      <w:proofErr w:type="spellStart"/>
      <w:r w:rsidRPr="00CC3FF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C3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3FF7">
        <w:rPr>
          <w:rFonts w:ascii="Times New Roman" w:hAnsi="Times New Roman" w:cs="Times New Roman"/>
          <w:sz w:val="28"/>
          <w:szCs w:val="28"/>
        </w:rPr>
        <w:t>увеличение  выделяемых</w:t>
      </w:r>
      <w:proofErr w:type="gramEnd"/>
      <w:r w:rsidRPr="00CC3FF7">
        <w:rPr>
          <w:rFonts w:ascii="Times New Roman" w:hAnsi="Times New Roman" w:cs="Times New Roman"/>
          <w:sz w:val="28"/>
          <w:szCs w:val="28"/>
        </w:rPr>
        <w:t xml:space="preserve"> депутатам  сумм на исполнение </w:t>
      </w:r>
      <w:bookmarkStart w:id="0" w:name="_GoBack"/>
      <w:bookmarkEnd w:id="0"/>
      <w:r w:rsidRPr="00CC3FF7">
        <w:rPr>
          <w:rFonts w:ascii="Times New Roman" w:hAnsi="Times New Roman" w:cs="Times New Roman"/>
          <w:sz w:val="28"/>
          <w:szCs w:val="28"/>
        </w:rPr>
        <w:t>реестра наказов  избирателей.</w:t>
      </w:r>
    </w:p>
    <w:sectPr w:rsidR="00657354" w:rsidRPr="00CC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B7"/>
    <w:rsid w:val="00657354"/>
    <w:rsid w:val="00CC3FF7"/>
    <w:rsid w:val="00D3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3419"/>
  <w15:chartTrackingRefBased/>
  <w15:docId w15:val="{F33A49D1-2089-4D33-85AF-09FAE75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F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C3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2023-12-13T12:58:00Z</dcterms:created>
  <dcterms:modified xsi:type="dcterms:W3CDTF">2023-12-13T13:04:00Z</dcterms:modified>
</cp:coreProperties>
</file>